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12"/>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68"/>
        <w:gridCol w:w="1170"/>
      </w:tblGrid>
      <w:tr w:rsidR="00305D11" w:rsidRPr="00E72307" w14:paraId="246D8FA6" w14:textId="77777777" w:rsidTr="0090536B">
        <w:trPr>
          <w:trHeight w:val="533"/>
        </w:trPr>
        <w:tc>
          <w:tcPr>
            <w:tcW w:w="8568" w:type="dxa"/>
            <w:tcBorders>
              <w:bottom w:val="single" w:sz="4" w:space="0" w:color="000000"/>
            </w:tcBorders>
            <w:shd w:val="clear" w:color="auto" w:fill="DBE5F1" w:themeFill="accent1" w:themeFillTint="33"/>
            <w:vAlign w:val="center"/>
          </w:tcPr>
          <w:p w14:paraId="606ECACC" w14:textId="77777777" w:rsidR="00903BAE" w:rsidRPr="00E72307" w:rsidRDefault="00C85229"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C</w:t>
            </w:r>
            <w:r w:rsidR="006F5326">
              <w:rPr>
                <w:rFonts w:cs="Arial"/>
                <w:b/>
                <w:sz w:val="20"/>
                <w:szCs w:val="20"/>
              </w:rPr>
              <w:t>ommunity Futures</w:t>
            </w:r>
            <w:r>
              <w:rPr>
                <w:rFonts w:cs="Arial"/>
                <w:b/>
                <w:sz w:val="20"/>
                <w:szCs w:val="20"/>
              </w:rPr>
              <w:t xml:space="preserve"> Performance </w:t>
            </w:r>
            <w:r w:rsidR="006F5326">
              <w:rPr>
                <w:rFonts w:cs="Arial"/>
                <w:b/>
                <w:sz w:val="20"/>
                <w:szCs w:val="20"/>
              </w:rPr>
              <w:t>Results</w:t>
            </w:r>
          </w:p>
        </w:tc>
        <w:tc>
          <w:tcPr>
            <w:tcW w:w="1170" w:type="dxa"/>
            <w:tcBorders>
              <w:bottom w:val="single" w:sz="4" w:space="0" w:color="000000"/>
            </w:tcBorders>
            <w:shd w:val="clear" w:color="auto" w:fill="DBE5F1" w:themeFill="accent1" w:themeFillTint="33"/>
            <w:vAlign w:val="center"/>
          </w:tcPr>
          <w:p w14:paraId="1566D106" w14:textId="77777777" w:rsidR="00305D11" w:rsidRPr="00E72307" w:rsidRDefault="000E446D" w:rsidP="00614CA8">
            <w:pPr>
              <w:keepNext/>
              <w:keepLines/>
              <w:tabs>
                <w:tab w:val="left" w:pos="6024"/>
                <w:tab w:val="left" w:pos="7159"/>
              </w:tabs>
              <w:autoSpaceDE w:val="0"/>
              <w:autoSpaceDN w:val="0"/>
              <w:adjustRightInd w:val="0"/>
              <w:jc w:val="center"/>
              <w:rPr>
                <w:rFonts w:cs="Arial"/>
                <w:b/>
                <w:sz w:val="20"/>
                <w:szCs w:val="20"/>
              </w:rPr>
            </w:pPr>
            <w:r>
              <w:rPr>
                <w:rFonts w:cs="Arial"/>
                <w:b/>
                <w:sz w:val="20"/>
                <w:szCs w:val="20"/>
              </w:rPr>
              <w:t>20</w:t>
            </w:r>
            <w:r w:rsidR="001048DF">
              <w:rPr>
                <w:rFonts w:cs="Arial"/>
                <w:b/>
                <w:sz w:val="20"/>
                <w:szCs w:val="20"/>
              </w:rPr>
              <w:t>20</w:t>
            </w:r>
            <w:r w:rsidR="0090536B">
              <w:rPr>
                <w:rFonts w:cs="Arial"/>
                <w:b/>
                <w:sz w:val="20"/>
                <w:szCs w:val="20"/>
              </w:rPr>
              <w:t>-</w:t>
            </w:r>
            <w:r w:rsidR="00D97949">
              <w:rPr>
                <w:rFonts w:cs="Arial"/>
                <w:b/>
                <w:sz w:val="20"/>
                <w:szCs w:val="20"/>
              </w:rPr>
              <w:t>2</w:t>
            </w:r>
            <w:r w:rsidR="001048DF">
              <w:rPr>
                <w:rFonts w:cs="Arial"/>
                <w:b/>
                <w:sz w:val="20"/>
                <w:szCs w:val="20"/>
              </w:rPr>
              <w:t>1</w:t>
            </w:r>
          </w:p>
        </w:tc>
      </w:tr>
      <w:tr w:rsidR="00305D11" w:rsidRPr="00E72307" w14:paraId="3C96F1A9" w14:textId="77777777" w:rsidTr="000032F8">
        <w:trPr>
          <w:trHeight w:val="659"/>
        </w:trPr>
        <w:tc>
          <w:tcPr>
            <w:tcW w:w="9738" w:type="dxa"/>
            <w:gridSpan w:val="2"/>
            <w:tcBorders>
              <w:bottom w:val="single" w:sz="4" w:space="0" w:color="000000"/>
            </w:tcBorders>
            <w:shd w:val="clear" w:color="auto" w:fill="auto"/>
            <w:vAlign w:val="center"/>
          </w:tcPr>
          <w:p w14:paraId="1A2C9D30" w14:textId="77777777" w:rsidR="00305D11" w:rsidRPr="00E72307" w:rsidRDefault="00305D11" w:rsidP="000032F8">
            <w:pPr>
              <w:keepNext/>
              <w:keepLines/>
              <w:tabs>
                <w:tab w:val="left" w:pos="6024"/>
                <w:tab w:val="left" w:pos="7159"/>
              </w:tabs>
              <w:autoSpaceDE w:val="0"/>
              <w:autoSpaceDN w:val="0"/>
              <w:adjustRightInd w:val="0"/>
              <w:spacing w:after="0"/>
              <w:jc w:val="center"/>
              <w:rPr>
                <w:rFonts w:cs="Arial"/>
                <w:b/>
                <w:sz w:val="20"/>
                <w:szCs w:val="20"/>
              </w:rPr>
            </w:pPr>
            <w:r w:rsidRPr="00E72307">
              <w:rPr>
                <w:rFonts w:cs="Arial"/>
                <w:b/>
                <w:i/>
                <w:sz w:val="20"/>
                <w:szCs w:val="20"/>
              </w:rPr>
              <w:t>Strong rural community strategic planning and implementation</w:t>
            </w:r>
          </w:p>
        </w:tc>
      </w:tr>
      <w:tr w:rsidR="00305D11" w:rsidRPr="00E72307" w14:paraId="23C45B50" w14:textId="77777777" w:rsidTr="0090536B">
        <w:trPr>
          <w:trHeight w:val="443"/>
        </w:trPr>
        <w:tc>
          <w:tcPr>
            <w:tcW w:w="8568" w:type="dxa"/>
            <w:tcBorders>
              <w:top w:val="single" w:sz="4" w:space="0" w:color="000000"/>
              <w:bottom w:val="single" w:sz="4" w:space="0" w:color="auto"/>
            </w:tcBorders>
            <w:shd w:val="clear" w:color="auto" w:fill="auto"/>
            <w:vAlign w:val="center"/>
          </w:tcPr>
          <w:p w14:paraId="05C1B538" w14:textId="77777777" w:rsidR="0063129F" w:rsidRPr="00E351D5" w:rsidRDefault="00305D11" w:rsidP="00CE1F1B">
            <w:pPr>
              <w:keepNext/>
              <w:keepLines/>
              <w:tabs>
                <w:tab w:val="left" w:pos="6024"/>
                <w:tab w:val="left" w:pos="7159"/>
              </w:tabs>
              <w:autoSpaceDE w:val="0"/>
              <w:autoSpaceDN w:val="0"/>
              <w:adjustRightInd w:val="0"/>
              <w:rPr>
                <w:rFonts w:cs="Arial"/>
                <w:b/>
                <w:sz w:val="20"/>
                <w:szCs w:val="20"/>
              </w:rPr>
            </w:pPr>
            <w:r w:rsidRPr="00E351D5">
              <w:rPr>
                <w:rFonts w:cs="Arial"/>
                <w:sz w:val="20"/>
                <w:szCs w:val="20"/>
              </w:rPr>
              <w:t>1. Total number</w:t>
            </w:r>
            <w:r w:rsidR="003E2596">
              <w:rPr>
                <w:rFonts w:cs="Arial"/>
                <w:sz w:val="20"/>
                <w:szCs w:val="20"/>
              </w:rPr>
              <w:t xml:space="preserve"> of community</w:t>
            </w:r>
            <w:r w:rsidR="00D011D2">
              <w:rPr>
                <w:rFonts w:cs="Arial"/>
                <w:sz w:val="20"/>
                <w:szCs w:val="20"/>
              </w:rPr>
              <w:t>-</w:t>
            </w:r>
            <w:r w:rsidR="003E2596">
              <w:rPr>
                <w:rFonts w:cs="Arial"/>
                <w:sz w:val="20"/>
                <w:szCs w:val="20"/>
              </w:rPr>
              <w:t>based projects</w:t>
            </w:r>
            <w:r w:rsidR="00716BF1">
              <w:rPr>
                <w:rFonts w:cs="Arial"/>
                <w:sz w:val="20"/>
                <w:szCs w:val="20"/>
              </w:rPr>
              <w:t xml:space="preserve"> (new &amp; on-going)</w:t>
            </w:r>
          </w:p>
        </w:tc>
        <w:tc>
          <w:tcPr>
            <w:tcW w:w="1170" w:type="dxa"/>
            <w:tcBorders>
              <w:top w:val="single" w:sz="4" w:space="0" w:color="000000"/>
              <w:bottom w:val="single" w:sz="4" w:space="0" w:color="auto"/>
            </w:tcBorders>
            <w:shd w:val="clear" w:color="auto" w:fill="auto"/>
            <w:vAlign w:val="center"/>
          </w:tcPr>
          <w:p w14:paraId="7351CA21" w14:textId="00C1390C" w:rsidR="00305D11" w:rsidRPr="00E72307" w:rsidRDefault="00645B39"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8</w:t>
            </w:r>
          </w:p>
        </w:tc>
      </w:tr>
      <w:tr w:rsidR="00D011D2" w:rsidRPr="00E72307" w14:paraId="310ABF9A" w14:textId="77777777" w:rsidTr="0090536B">
        <w:trPr>
          <w:trHeight w:val="443"/>
        </w:trPr>
        <w:tc>
          <w:tcPr>
            <w:tcW w:w="8568" w:type="dxa"/>
            <w:tcBorders>
              <w:top w:val="single" w:sz="4" w:space="0" w:color="000000"/>
              <w:bottom w:val="single" w:sz="4" w:space="0" w:color="auto"/>
            </w:tcBorders>
            <w:shd w:val="clear" w:color="auto" w:fill="auto"/>
            <w:vAlign w:val="center"/>
          </w:tcPr>
          <w:p w14:paraId="3EEFC156" w14:textId="77777777" w:rsidR="00D011D2" w:rsidRPr="00E351D5" w:rsidRDefault="00D011D2" w:rsidP="00716BF1">
            <w:pPr>
              <w:keepNext/>
              <w:keepLines/>
              <w:tabs>
                <w:tab w:val="left" w:pos="6024"/>
                <w:tab w:val="left" w:pos="7159"/>
              </w:tabs>
              <w:autoSpaceDE w:val="0"/>
              <w:autoSpaceDN w:val="0"/>
              <w:adjustRightInd w:val="0"/>
              <w:rPr>
                <w:rFonts w:cs="Arial"/>
                <w:b/>
                <w:sz w:val="20"/>
                <w:szCs w:val="20"/>
              </w:rPr>
            </w:pPr>
            <w:r>
              <w:rPr>
                <w:rFonts w:cs="Arial"/>
                <w:sz w:val="20"/>
                <w:szCs w:val="20"/>
              </w:rPr>
              <w:t>2</w:t>
            </w:r>
            <w:r w:rsidRPr="00E351D5">
              <w:rPr>
                <w:rFonts w:cs="Arial"/>
                <w:sz w:val="20"/>
                <w:szCs w:val="20"/>
              </w:rPr>
              <w:t xml:space="preserve">. </w:t>
            </w:r>
            <w:r w:rsidR="00716BF1">
              <w:rPr>
                <w:rFonts w:cs="Arial"/>
                <w:sz w:val="20"/>
                <w:szCs w:val="20"/>
              </w:rPr>
              <w:t>Total number of local and regionally-based community strategic</w:t>
            </w:r>
            <w:r w:rsidR="00CE1F1B">
              <w:rPr>
                <w:rFonts w:cs="Arial"/>
                <w:sz w:val="20"/>
                <w:szCs w:val="20"/>
              </w:rPr>
              <w:t xml:space="preserve"> plans developed and/or updated</w:t>
            </w:r>
          </w:p>
        </w:tc>
        <w:tc>
          <w:tcPr>
            <w:tcW w:w="1170" w:type="dxa"/>
            <w:tcBorders>
              <w:top w:val="single" w:sz="4" w:space="0" w:color="000000"/>
              <w:bottom w:val="single" w:sz="4" w:space="0" w:color="auto"/>
            </w:tcBorders>
            <w:shd w:val="clear" w:color="auto" w:fill="auto"/>
            <w:vAlign w:val="center"/>
          </w:tcPr>
          <w:p w14:paraId="0ED8DFB4" w14:textId="0FB61F8F" w:rsidR="00D011D2" w:rsidRPr="00E72307" w:rsidRDefault="00645B39" w:rsidP="00D011D2">
            <w:pPr>
              <w:keepNext/>
              <w:keepLines/>
              <w:tabs>
                <w:tab w:val="left" w:pos="6024"/>
                <w:tab w:val="left" w:pos="7159"/>
              </w:tabs>
              <w:autoSpaceDE w:val="0"/>
              <w:autoSpaceDN w:val="0"/>
              <w:adjustRightInd w:val="0"/>
              <w:jc w:val="center"/>
              <w:rPr>
                <w:rFonts w:cs="Arial"/>
                <w:b/>
                <w:sz w:val="20"/>
                <w:szCs w:val="20"/>
              </w:rPr>
            </w:pPr>
            <w:r>
              <w:rPr>
                <w:rFonts w:cs="Arial"/>
                <w:b/>
                <w:sz w:val="20"/>
                <w:szCs w:val="20"/>
              </w:rPr>
              <w:t>1</w:t>
            </w:r>
          </w:p>
        </w:tc>
      </w:tr>
      <w:tr w:rsidR="003E2596" w:rsidRPr="00E72307" w14:paraId="355BE585" w14:textId="77777777" w:rsidTr="0090536B">
        <w:trPr>
          <w:trHeight w:val="463"/>
        </w:trPr>
        <w:tc>
          <w:tcPr>
            <w:tcW w:w="8568" w:type="dxa"/>
            <w:tcBorders>
              <w:top w:val="single" w:sz="4" w:space="0" w:color="auto"/>
            </w:tcBorders>
            <w:shd w:val="clear" w:color="auto" w:fill="auto"/>
            <w:vAlign w:val="center"/>
          </w:tcPr>
          <w:p w14:paraId="04654E2A" w14:textId="77777777" w:rsidR="003E2596" w:rsidRPr="00E351D5" w:rsidRDefault="003E2596" w:rsidP="00D011D2">
            <w:pPr>
              <w:keepNext/>
              <w:keepLines/>
              <w:tabs>
                <w:tab w:val="left" w:pos="6024"/>
                <w:tab w:val="left" w:pos="7159"/>
              </w:tabs>
              <w:autoSpaceDE w:val="0"/>
              <w:autoSpaceDN w:val="0"/>
              <w:adjustRightInd w:val="0"/>
              <w:ind w:left="270"/>
              <w:jc w:val="center"/>
              <w:rPr>
                <w:rFonts w:cs="Arial"/>
                <w:i/>
                <w:sz w:val="20"/>
                <w:szCs w:val="20"/>
              </w:rPr>
            </w:pPr>
            <w:r w:rsidRPr="00E72307">
              <w:rPr>
                <w:rFonts w:cs="Arial"/>
                <w:b/>
                <w:i/>
                <w:sz w:val="20"/>
                <w:szCs w:val="20"/>
              </w:rPr>
              <w:t>Rural access to business development services</w:t>
            </w:r>
          </w:p>
        </w:tc>
        <w:tc>
          <w:tcPr>
            <w:tcW w:w="1170" w:type="dxa"/>
            <w:tcBorders>
              <w:top w:val="single" w:sz="4" w:space="0" w:color="auto"/>
              <w:bottom w:val="single" w:sz="4" w:space="0" w:color="auto"/>
            </w:tcBorders>
            <w:shd w:val="clear" w:color="auto" w:fill="auto"/>
            <w:vAlign w:val="center"/>
          </w:tcPr>
          <w:p w14:paraId="3D746538" w14:textId="77777777" w:rsidR="003E2596" w:rsidRPr="00E72307" w:rsidRDefault="003E2596" w:rsidP="00D011D2">
            <w:pPr>
              <w:keepNext/>
              <w:keepLines/>
              <w:tabs>
                <w:tab w:val="left" w:pos="6024"/>
                <w:tab w:val="left" w:pos="7159"/>
              </w:tabs>
              <w:autoSpaceDE w:val="0"/>
              <w:autoSpaceDN w:val="0"/>
              <w:adjustRightInd w:val="0"/>
              <w:jc w:val="center"/>
              <w:rPr>
                <w:rFonts w:cs="Arial"/>
                <w:b/>
                <w:sz w:val="20"/>
                <w:szCs w:val="20"/>
              </w:rPr>
            </w:pPr>
          </w:p>
        </w:tc>
      </w:tr>
      <w:tr w:rsidR="003E2596" w:rsidRPr="00E72307" w14:paraId="621E355C" w14:textId="77777777" w:rsidTr="0090536B">
        <w:trPr>
          <w:trHeight w:val="463"/>
        </w:trPr>
        <w:tc>
          <w:tcPr>
            <w:tcW w:w="8568" w:type="dxa"/>
            <w:shd w:val="clear" w:color="auto" w:fill="auto"/>
            <w:vAlign w:val="center"/>
          </w:tcPr>
          <w:p w14:paraId="2180E06E" w14:textId="77777777" w:rsidR="003E2596" w:rsidRPr="00FE5858" w:rsidRDefault="00FE5858" w:rsidP="00FE5858">
            <w:pPr>
              <w:keepNext/>
              <w:keepLines/>
              <w:tabs>
                <w:tab w:val="left" w:pos="6024"/>
                <w:tab w:val="left" w:pos="7159"/>
              </w:tabs>
              <w:autoSpaceDE w:val="0"/>
              <w:autoSpaceDN w:val="0"/>
              <w:adjustRightInd w:val="0"/>
              <w:rPr>
                <w:rFonts w:cs="Arial"/>
                <w:i/>
                <w:sz w:val="20"/>
                <w:szCs w:val="20"/>
              </w:rPr>
            </w:pPr>
            <w:r>
              <w:rPr>
                <w:rFonts w:cs="Arial"/>
                <w:sz w:val="20"/>
                <w:szCs w:val="20"/>
              </w:rPr>
              <w:t>3</w:t>
            </w:r>
            <w:r w:rsidR="003E2596" w:rsidRPr="00FE5858">
              <w:rPr>
                <w:rFonts w:cs="Arial"/>
                <w:sz w:val="20"/>
                <w:szCs w:val="20"/>
              </w:rPr>
              <w:t xml:space="preserve">. </w:t>
            </w:r>
            <w:r w:rsidR="00CE1F1B" w:rsidRPr="00FE5858">
              <w:rPr>
                <w:rFonts w:cs="Arial"/>
                <w:sz w:val="20"/>
                <w:szCs w:val="20"/>
              </w:rPr>
              <w:t>Total n</w:t>
            </w:r>
            <w:r w:rsidR="003E2596" w:rsidRPr="00FE5858">
              <w:rPr>
                <w:rFonts w:cs="Arial"/>
                <w:sz w:val="20"/>
                <w:szCs w:val="20"/>
              </w:rPr>
              <w:t xml:space="preserve">umber of business training session participants </w:t>
            </w:r>
          </w:p>
        </w:tc>
        <w:tc>
          <w:tcPr>
            <w:tcW w:w="1170" w:type="dxa"/>
            <w:tcBorders>
              <w:top w:val="single" w:sz="4" w:space="0" w:color="auto"/>
              <w:bottom w:val="single" w:sz="4" w:space="0" w:color="auto"/>
            </w:tcBorders>
            <w:shd w:val="clear" w:color="auto" w:fill="auto"/>
            <w:vAlign w:val="center"/>
          </w:tcPr>
          <w:p w14:paraId="682EAFE1" w14:textId="58E56C24" w:rsidR="003E2596" w:rsidRPr="00E72307" w:rsidRDefault="00645B39"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9</w:t>
            </w:r>
          </w:p>
        </w:tc>
      </w:tr>
      <w:tr w:rsidR="003E2596" w:rsidRPr="00E72307" w14:paraId="4619BFE9" w14:textId="77777777" w:rsidTr="0090536B">
        <w:trPr>
          <w:trHeight w:val="463"/>
        </w:trPr>
        <w:tc>
          <w:tcPr>
            <w:tcW w:w="8568" w:type="dxa"/>
            <w:shd w:val="clear" w:color="auto" w:fill="auto"/>
            <w:vAlign w:val="center"/>
          </w:tcPr>
          <w:p w14:paraId="3BF1F678" w14:textId="77777777" w:rsidR="003E2596" w:rsidRPr="00FE5858" w:rsidRDefault="00FE5858" w:rsidP="00FE5858">
            <w:pPr>
              <w:keepNext/>
              <w:keepLines/>
              <w:tabs>
                <w:tab w:val="left" w:pos="6024"/>
                <w:tab w:val="left" w:pos="7159"/>
              </w:tabs>
              <w:autoSpaceDE w:val="0"/>
              <w:autoSpaceDN w:val="0"/>
              <w:adjustRightInd w:val="0"/>
              <w:rPr>
                <w:rFonts w:cs="Arial"/>
                <w:i/>
                <w:sz w:val="20"/>
                <w:szCs w:val="20"/>
              </w:rPr>
            </w:pPr>
            <w:r>
              <w:rPr>
                <w:rFonts w:cs="Arial"/>
                <w:sz w:val="20"/>
                <w:szCs w:val="20"/>
              </w:rPr>
              <w:t>4</w:t>
            </w:r>
            <w:r w:rsidR="003E2596" w:rsidRPr="00FE5858">
              <w:rPr>
                <w:rFonts w:cs="Arial"/>
                <w:sz w:val="20"/>
                <w:szCs w:val="20"/>
              </w:rPr>
              <w:t xml:space="preserve">. </w:t>
            </w:r>
            <w:r w:rsidR="00CE1F1B" w:rsidRPr="00FE5858">
              <w:rPr>
                <w:rFonts w:cs="Arial"/>
                <w:sz w:val="20"/>
                <w:szCs w:val="20"/>
              </w:rPr>
              <w:t>Total n</w:t>
            </w:r>
            <w:r w:rsidR="003E2596" w:rsidRPr="00FE5858">
              <w:rPr>
                <w:rFonts w:cs="Arial"/>
                <w:sz w:val="20"/>
                <w:szCs w:val="20"/>
              </w:rPr>
              <w:t xml:space="preserve">umber of business advisory services </w:t>
            </w:r>
          </w:p>
        </w:tc>
        <w:tc>
          <w:tcPr>
            <w:tcW w:w="1170" w:type="dxa"/>
            <w:tcBorders>
              <w:top w:val="single" w:sz="4" w:space="0" w:color="auto"/>
              <w:bottom w:val="single" w:sz="4" w:space="0" w:color="auto"/>
            </w:tcBorders>
            <w:shd w:val="clear" w:color="auto" w:fill="auto"/>
            <w:vAlign w:val="center"/>
          </w:tcPr>
          <w:p w14:paraId="4C893096" w14:textId="1DE28CC5" w:rsidR="003E2596" w:rsidRPr="00E72307" w:rsidRDefault="00645B39"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816</w:t>
            </w:r>
          </w:p>
        </w:tc>
      </w:tr>
      <w:tr w:rsidR="003E2596" w:rsidRPr="00E72307" w14:paraId="6188FD4C" w14:textId="77777777" w:rsidTr="0090536B">
        <w:trPr>
          <w:trHeight w:val="463"/>
        </w:trPr>
        <w:tc>
          <w:tcPr>
            <w:tcW w:w="8568" w:type="dxa"/>
            <w:shd w:val="clear" w:color="auto" w:fill="auto"/>
            <w:vAlign w:val="center"/>
          </w:tcPr>
          <w:p w14:paraId="64E42A2E" w14:textId="77777777" w:rsidR="003E2596" w:rsidRPr="00E351D5" w:rsidRDefault="003E2596" w:rsidP="0056519D">
            <w:pPr>
              <w:keepNext/>
              <w:keepLines/>
              <w:tabs>
                <w:tab w:val="left" w:pos="6024"/>
                <w:tab w:val="left" w:pos="7159"/>
              </w:tabs>
              <w:autoSpaceDE w:val="0"/>
              <w:autoSpaceDN w:val="0"/>
              <w:adjustRightInd w:val="0"/>
              <w:ind w:left="270"/>
              <w:jc w:val="center"/>
              <w:rPr>
                <w:rFonts w:cs="Arial"/>
                <w:i/>
                <w:sz w:val="20"/>
                <w:szCs w:val="20"/>
              </w:rPr>
            </w:pPr>
            <w:r w:rsidRPr="00E72307">
              <w:rPr>
                <w:rFonts w:cs="Arial"/>
                <w:b/>
                <w:i/>
                <w:sz w:val="20"/>
                <w:szCs w:val="20"/>
              </w:rPr>
              <w:t>Rural access to capital and leveraged capital</w:t>
            </w:r>
          </w:p>
        </w:tc>
        <w:tc>
          <w:tcPr>
            <w:tcW w:w="1170" w:type="dxa"/>
            <w:tcBorders>
              <w:top w:val="single" w:sz="4" w:space="0" w:color="auto"/>
              <w:bottom w:val="single" w:sz="4" w:space="0" w:color="000000"/>
            </w:tcBorders>
            <w:shd w:val="clear" w:color="auto" w:fill="auto"/>
            <w:vAlign w:val="center"/>
          </w:tcPr>
          <w:p w14:paraId="20330D11" w14:textId="77777777" w:rsidR="003E2596" w:rsidRPr="00E72307" w:rsidRDefault="003E2596" w:rsidP="000032F8">
            <w:pPr>
              <w:keepNext/>
              <w:keepLines/>
              <w:tabs>
                <w:tab w:val="left" w:pos="6024"/>
                <w:tab w:val="left" w:pos="7159"/>
              </w:tabs>
              <w:autoSpaceDE w:val="0"/>
              <w:autoSpaceDN w:val="0"/>
              <w:adjustRightInd w:val="0"/>
              <w:jc w:val="center"/>
              <w:rPr>
                <w:rFonts w:cs="Arial"/>
                <w:b/>
                <w:sz w:val="20"/>
                <w:szCs w:val="20"/>
              </w:rPr>
            </w:pPr>
          </w:p>
        </w:tc>
      </w:tr>
      <w:tr w:rsidR="00BE6567" w:rsidRPr="00E72307" w14:paraId="523CFB6F" w14:textId="77777777" w:rsidTr="0090536B">
        <w:trPr>
          <w:trHeight w:val="355"/>
        </w:trPr>
        <w:tc>
          <w:tcPr>
            <w:tcW w:w="8568" w:type="dxa"/>
            <w:shd w:val="clear" w:color="auto" w:fill="auto"/>
            <w:vAlign w:val="center"/>
          </w:tcPr>
          <w:p w14:paraId="5F6A2852" w14:textId="77777777" w:rsidR="00BE6567" w:rsidRDefault="00FE5858" w:rsidP="00FE5858">
            <w:pPr>
              <w:keepNext/>
              <w:keepLines/>
              <w:tabs>
                <w:tab w:val="left" w:pos="6024"/>
                <w:tab w:val="left" w:pos="7159"/>
              </w:tabs>
              <w:autoSpaceDE w:val="0"/>
              <w:autoSpaceDN w:val="0"/>
              <w:adjustRightInd w:val="0"/>
              <w:rPr>
                <w:rFonts w:cs="Arial"/>
                <w:sz w:val="20"/>
                <w:szCs w:val="20"/>
              </w:rPr>
            </w:pPr>
            <w:r>
              <w:rPr>
                <w:rFonts w:cs="Arial"/>
                <w:sz w:val="20"/>
                <w:szCs w:val="20"/>
              </w:rPr>
              <w:t>5</w:t>
            </w:r>
            <w:r w:rsidR="00BE6567">
              <w:rPr>
                <w:rFonts w:cs="Arial"/>
                <w:sz w:val="20"/>
                <w:szCs w:val="20"/>
              </w:rPr>
              <w:t>.  Dollar value of loans</w:t>
            </w:r>
          </w:p>
        </w:tc>
        <w:tc>
          <w:tcPr>
            <w:tcW w:w="1170" w:type="dxa"/>
            <w:shd w:val="clear" w:color="auto" w:fill="auto"/>
            <w:vAlign w:val="center"/>
          </w:tcPr>
          <w:p w14:paraId="0699B838" w14:textId="4BEAFE4F" w:rsidR="00BE6567" w:rsidRPr="00E72307" w:rsidRDefault="00645B39"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2,192,621</w:t>
            </w:r>
          </w:p>
        </w:tc>
      </w:tr>
      <w:tr w:rsidR="004E0068" w:rsidRPr="00E72307" w14:paraId="0E048A22" w14:textId="77777777" w:rsidTr="0090536B">
        <w:trPr>
          <w:trHeight w:val="355"/>
        </w:trPr>
        <w:tc>
          <w:tcPr>
            <w:tcW w:w="8568" w:type="dxa"/>
            <w:shd w:val="clear" w:color="auto" w:fill="auto"/>
            <w:vAlign w:val="center"/>
          </w:tcPr>
          <w:p w14:paraId="0886A8EB" w14:textId="77777777" w:rsidR="004E0068" w:rsidRDefault="00FE5858" w:rsidP="00FE5858">
            <w:pPr>
              <w:keepNext/>
              <w:keepLines/>
              <w:tabs>
                <w:tab w:val="left" w:pos="6024"/>
                <w:tab w:val="left" w:pos="7159"/>
              </w:tabs>
              <w:autoSpaceDE w:val="0"/>
              <w:autoSpaceDN w:val="0"/>
              <w:adjustRightInd w:val="0"/>
              <w:rPr>
                <w:rFonts w:cs="Arial"/>
                <w:sz w:val="20"/>
                <w:szCs w:val="20"/>
              </w:rPr>
            </w:pPr>
            <w:r>
              <w:rPr>
                <w:rFonts w:cs="Arial"/>
                <w:sz w:val="20"/>
                <w:szCs w:val="20"/>
              </w:rPr>
              <w:t>6</w:t>
            </w:r>
            <w:r w:rsidR="004E0068">
              <w:rPr>
                <w:rFonts w:cs="Arial"/>
                <w:sz w:val="20"/>
                <w:szCs w:val="20"/>
              </w:rPr>
              <w:t xml:space="preserve">. </w:t>
            </w:r>
            <w:r w:rsidR="00CE1F1B">
              <w:rPr>
                <w:rFonts w:cs="Arial"/>
                <w:sz w:val="20"/>
                <w:szCs w:val="20"/>
              </w:rPr>
              <w:t>Total n</w:t>
            </w:r>
            <w:r w:rsidR="004E0068">
              <w:rPr>
                <w:rFonts w:cs="Arial"/>
                <w:sz w:val="20"/>
                <w:szCs w:val="20"/>
              </w:rPr>
              <w:t>umber</w:t>
            </w:r>
            <w:r w:rsidR="004E0068" w:rsidRPr="00E72307">
              <w:rPr>
                <w:rFonts w:cs="Arial"/>
                <w:sz w:val="20"/>
                <w:szCs w:val="20"/>
              </w:rPr>
              <w:t xml:space="preserve"> of loans  </w:t>
            </w:r>
          </w:p>
        </w:tc>
        <w:tc>
          <w:tcPr>
            <w:tcW w:w="1170" w:type="dxa"/>
            <w:shd w:val="clear" w:color="auto" w:fill="auto"/>
            <w:vAlign w:val="center"/>
          </w:tcPr>
          <w:p w14:paraId="310AFFD0" w14:textId="39EA4AAA" w:rsidR="004E0068" w:rsidRPr="00E72307" w:rsidRDefault="00645B39"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62</w:t>
            </w:r>
          </w:p>
        </w:tc>
      </w:tr>
      <w:tr w:rsidR="003E2596" w:rsidRPr="00E72307" w14:paraId="2C4B6BB2" w14:textId="77777777" w:rsidTr="0090536B">
        <w:trPr>
          <w:trHeight w:val="355"/>
        </w:trPr>
        <w:tc>
          <w:tcPr>
            <w:tcW w:w="8568" w:type="dxa"/>
            <w:shd w:val="clear" w:color="auto" w:fill="auto"/>
            <w:vAlign w:val="center"/>
          </w:tcPr>
          <w:p w14:paraId="5F33FD56" w14:textId="77777777" w:rsidR="003E2596" w:rsidRDefault="00FE5858" w:rsidP="00FE5858">
            <w:pPr>
              <w:keepNext/>
              <w:keepLines/>
              <w:tabs>
                <w:tab w:val="left" w:pos="6024"/>
                <w:tab w:val="left" w:pos="7159"/>
              </w:tabs>
              <w:autoSpaceDE w:val="0"/>
              <w:autoSpaceDN w:val="0"/>
              <w:adjustRightInd w:val="0"/>
              <w:jc w:val="both"/>
              <w:rPr>
                <w:rFonts w:cs="Arial"/>
                <w:sz w:val="20"/>
                <w:szCs w:val="20"/>
              </w:rPr>
            </w:pPr>
            <w:r>
              <w:rPr>
                <w:rFonts w:cs="Arial"/>
                <w:sz w:val="20"/>
                <w:szCs w:val="20"/>
              </w:rPr>
              <w:t>7</w:t>
            </w:r>
            <w:r w:rsidR="004E0068">
              <w:rPr>
                <w:rFonts w:cs="Arial"/>
                <w:sz w:val="20"/>
                <w:szCs w:val="20"/>
              </w:rPr>
              <w:t>. Number</w:t>
            </w:r>
            <w:r w:rsidR="004E0068" w:rsidRPr="00E72307">
              <w:rPr>
                <w:rFonts w:cs="Arial"/>
                <w:sz w:val="20"/>
                <w:szCs w:val="20"/>
              </w:rPr>
              <w:t xml:space="preserve"> of </w:t>
            </w:r>
            <w:r w:rsidR="004E0068">
              <w:rPr>
                <w:rFonts w:cs="Arial"/>
                <w:sz w:val="20"/>
                <w:szCs w:val="20"/>
              </w:rPr>
              <w:t>jobs created/maintained/expanded</w:t>
            </w:r>
            <w:r w:rsidR="00716BF1">
              <w:rPr>
                <w:rFonts w:cs="Arial"/>
                <w:sz w:val="20"/>
                <w:szCs w:val="20"/>
              </w:rPr>
              <w:t xml:space="preserve"> </w:t>
            </w:r>
            <w:r w:rsidR="004E0068">
              <w:rPr>
                <w:rFonts w:cs="Arial"/>
                <w:sz w:val="20"/>
                <w:szCs w:val="20"/>
              </w:rPr>
              <w:t>through lending</w:t>
            </w:r>
            <w:r w:rsidR="004E0068">
              <w:rPr>
                <w:rStyle w:val="FootnoteReference"/>
                <w:rFonts w:cs="Arial"/>
                <w:sz w:val="20"/>
                <w:szCs w:val="20"/>
              </w:rPr>
              <w:footnoteReference w:id="1"/>
            </w:r>
          </w:p>
        </w:tc>
        <w:tc>
          <w:tcPr>
            <w:tcW w:w="1170" w:type="dxa"/>
            <w:shd w:val="clear" w:color="auto" w:fill="auto"/>
            <w:vAlign w:val="center"/>
          </w:tcPr>
          <w:p w14:paraId="688AB4EA" w14:textId="48D59DF9" w:rsidR="003E2596" w:rsidRPr="00E72307" w:rsidRDefault="00645B39"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131</w:t>
            </w:r>
          </w:p>
        </w:tc>
      </w:tr>
      <w:tr w:rsidR="003E2596" w:rsidRPr="00E72307" w14:paraId="1EF7EA29" w14:textId="77777777" w:rsidTr="000032F8">
        <w:trPr>
          <w:trHeight w:val="562"/>
        </w:trPr>
        <w:tc>
          <w:tcPr>
            <w:tcW w:w="9738" w:type="dxa"/>
            <w:gridSpan w:val="2"/>
            <w:shd w:val="clear" w:color="auto" w:fill="auto"/>
            <w:vAlign w:val="center"/>
          </w:tcPr>
          <w:p w14:paraId="646F5AB6" w14:textId="77777777" w:rsidR="003E2596" w:rsidRPr="00E72307" w:rsidRDefault="003E2596" w:rsidP="000032F8">
            <w:pPr>
              <w:keepNext/>
              <w:keepLines/>
              <w:tabs>
                <w:tab w:val="left" w:pos="6024"/>
                <w:tab w:val="left" w:pos="7159"/>
              </w:tabs>
              <w:autoSpaceDE w:val="0"/>
              <w:autoSpaceDN w:val="0"/>
              <w:adjustRightInd w:val="0"/>
              <w:rPr>
                <w:rFonts w:cs="Arial"/>
                <w:b/>
                <w:sz w:val="20"/>
                <w:szCs w:val="20"/>
              </w:rPr>
            </w:pPr>
          </w:p>
        </w:tc>
      </w:tr>
    </w:tbl>
    <w:tbl>
      <w:tblPr>
        <w:tblStyle w:val="TableGrid"/>
        <w:tblW w:w="9738" w:type="dxa"/>
        <w:tblLook w:val="04A0" w:firstRow="1" w:lastRow="0" w:firstColumn="1" w:lastColumn="0" w:noHBand="0" w:noVBand="1"/>
      </w:tblPr>
      <w:tblGrid>
        <w:gridCol w:w="9738"/>
      </w:tblGrid>
      <w:tr w:rsidR="00F609C9" w14:paraId="2E0CE1EC" w14:textId="77777777" w:rsidTr="000032F8">
        <w:tc>
          <w:tcPr>
            <w:tcW w:w="9738" w:type="dxa"/>
          </w:tcPr>
          <w:p w14:paraId="27DEEBE8" w14:textId="77777777" w:rsidR="000032F8" w:rsidRPr="00B86B60" w:rsidRDefault="00B86B60" w:rsidP="000032F8">
            <w:pPr>
              <w:rPr>
                <w:rFonts w:cs="Arial"/>
                <w:sz w:val="20"/>
                <w:szCs w:val="20"/>
              </w:rPr>
            </w:pPr>
            <w:r w:rsidRPr="00B86B60">
              <w:rPr>
                <w:rFonts w:cs="Arial"/>
                <w:sz w:val="20"/>
                <w:szCs w:val="20"/>
              </w:rPr>
              <w:t>Provide a</w:t>
            </w:r>
            <w:r w:rsidR="008B0CCB" w:rsidRPr="00B86B60">
              <w:rPr>
                <w:rFonts w:cs="Arial"/>
                <w:sz w:val="20"/>
                <w:szCs w:val="20"/>
              </w:rPr>
              <w:t>dditional Information</w:t>
            </w:r>
            <w:r w:rsidRPr="00B86B60">
              <w:rPr>
                <w:rFonts w:cs="Arial"/>
                <w:sz w:val="20"/>
                <w:szCs w:val="20"/>
              </w:rPr>
              <w:t xml:space="preserve"> (e.g. Success stories, </w:t>
            </w:r>
            <w:r w:rsidR="00E514E4">
              <w:rPr>
                <w:rFonts w:cs="Arial"/>
                <w:sz w:val="20"/>
                <w:szCs w:val="20"/>
              </w:rPr>
              <w:t xml:space="preserve">Links to priorities, </w:t>
            </w:r>
            <w:r w:rsidRPr="00B86B60">
              <w:rPr>
                <w:rFonts w:cs="Arial"/>
                <w:sz w:val="20"/>
                <w:szCs w:val="20"/>
              </w:rPr>
              <w:t>leveraging work, communication events, etc…)</w:t>
            </w:r>
            <w:r w:rsidR="000032F8">
              <w:rPr>
                <w:rFonts w:cs="Arial"/>
                <w:sz w:val="20"/>
                <w:szCs w:val="20"/>
              </w:rPr>
              <w:t xml:space="preserve"> </w:t>
            </w:r>
            <w:r w:rsidR="000032F8">
              <w:rPr>
                <w:rFonts w:cs="Arial"/>
                <w:sz w:val="20"/>
                <w:szCs w:val="20"/>
              </w:rPr>
              <w:br/>
            </w:r>
          </w:p>
        </w:tc>
      </w:tr>
      <w:tr w:rsidR="00F609C9" w14:paraId="3A634EDD" w14:textId="77777777" w:rsidTr="000032F8">
        <w:tc>
          <w:tcPr>
            <w:tcW w:w="9738" w:type="dxa"/>
          </w:tcPr>
          <w:p w14:paraId="73264253" w14:textId="77777777" w:rsidR="0058552F" w:rsidRDefault="0058552F" w:rsidP="0058552F">
            <w:pPr>
              <w:pStyle w:val="BodyTextIndent"/>
              <w:tabs>
                <w:tab w:val="left" w:pos="2448"/>
                <w:tab w:val="left" w:pos="9576"/>
              </w:tabs>
              <w:ind w:left="0"/>
              <w:rPr>
                <w:rFonts w:ascii="Times New Roman" w:hAnsi="Times New Roman" w:cs="Times New Roman"/>
                <w:sz w:val="24"/>
              </w:rPr>
            </w:pPr>
          </w:p>
          <w:p w14:paraId="593BD205" w14:textId="1DCB5CDF" w:rsidR="0058552F" w:rsidRPr="00CA3D77" w:rsidRDefault="0058552F" w:rsidP="0058552F">
            <w:pPr>
              <w:pStyle w:val="BodyTextIndent"/>
              <w:tabs>
                <w:tab w:val="left" w:pos="2448"/>
                <w:tab w:val="left" w:pos="9576"/>
              </w:tabs>
              <w:ind w:left="0"/>
              <w:rPr>
                <w:rFonts w:ascii="Times New Roman" w:hAnsi="Times New Roman" w:cs="Times New Roman"/>
                <w:sz w:val="24"/>
              </w:rPr>
            </w:pPr>
            <w:r w:rsidRPr="00CA3D77">
              <w:rPr>
                <w:rFonts w:ascii="Times New Roman" w:hAnsi="Times New Roman" w:cs="Times New Roman"/>
                <w:sz w:val="24"/>
              </w:rPr>
              <w:t>CFNWA focused on supporting the region’s Chamber</w:t>
            </w:r>
            <w:r>
              <w:rPr>
                <w:rFonts w:ascii="Times New Roman" w:hAnsi="Times New Roman" w:cs="Times New Roman"/>
                <w:sz w:val="24"/>
              </w:rPr>
              <w:t>s</w:t>
            </w:r>
            <w:r w:rsidRPr="00CA3D77">
              <w:rPr>
                <w:rFonts w:ascii="Times New Roman" w:hAnsi="Times New Roman" w:cs="Times New Roman"/>
                <w:sz w:val="24"/>
              </w:rPr>
              <w:t xml:space="preserve"> of Commerce and Board of Trade members</w:t>
            </w:r>
            <w:r>
              <w:rPr>
                <w:rFonts w:ascii="Times New Roman" w:hAnsi="Times New Roman" w:cs="Times New Roman"/>
                <w:sz w:val="24"/>
              </w:rPr>
              <w:t xml:space="preserve"> </w:t>
            </w:r>
            <w:r w:rsidRPr="00CA3D77">
              <w:rPr>
                <w:rFonts w:ascii="Times New Roman" w:hAnsi="Times New Roman" w:cs="Times New Roman"/>
                <w:sz w:val="24"/>
              </w:rPr>
              <w:t>by paying the membership</w:t>
            </w:r>
            <w:r>
              <w:rPr>
                <w:rFonts w:ascii="Times New Roman" w:hAnsi="Times New Roman" w:cs="Times New Roman"/>
                <w:sz w:val="24"/>
              </w:rPr>
              <w:t xml:space="preserve"> fees</w:t>
            </w:r>
            <w:r w:rsidRPr="00CA3D77">
              <w:rPr>
                <w:rFonts w:ascii="Times New Roman" w:hAnsi="Times New Roman" w:cs="Times New Roman"/>
                <w:sz w:val="24"/>
              </w:rPr>
              <w:t xml:space="preserve"> of some of the hardest hit members</w:t>
            </w:r>
            <w:r>
              <w:rPr>
                <w:rFonts w:ascii="Times New Roman" w:hAnsi="Times New Roman" w:cs="Times New Roman"/>
                <w:sz w:val="24"/>
              </w:rPr>
              <w:t>.</w:t>
            </w:r>
            <w:r w:rsidRPr="00CA3D77">
              <w:rPr>
                <w:rFonts w:ascii="Times New Roman" w:hAnsi="Times New Roman" w:cs="Times New Roman"/>
                <w:sz w:val="24"/>
              </w:rPr>
              <w:t xml:space="preserve"> </w:t>
            </w:r>
            <w:r>
              <w:rPr>
                <w:rFonts w:ascii="Times New Roman" w:hAnsi="Times New Roman" w:cs="Times New Roman"/>
                <w:sz w:val="24"/>
              </w:rPr>
              <w:t>W</w:t>
            </w:r>
            <w:r w:rsidRPr="00CA3D77">
              <w:rPr>
                <w:rFonts w:ascii="Times New Roman" w:hAnsi="Times New Roman" w:cs="Times New Roman"/>
                <w:sz w:val="24"/>
              </w:rPr>
              <w:t>e were able to keep them connected with their community supports. Also, by supplying seed funding for website improvements and shop local campaigns, the Chambers were able to be more effective and targeted in their support for their members.</w:t>
            </w:r>
          </w:p>
          <w:p w14:paraId="3F43EEE1" w14:textId="5FDC6CC5" w:rsidR="00F609C9" w:rsidRDefault="0058552F" w:rsidP="0058552F">
            <w:pPr>
              <w:spacing w:before="240"/>
              <w:rPr>
                <w:rStyle w:val="cf01"/>
                <w:rFonts w:ascii="Times New Roman" w:hAnsi="Times New Roman" w:cs="Times New Roman"/>
                <w:sz w:val="24"/>
                <w:szCs w:val="24"/>
              </w:rPr>
            </w:pPr>
            <w:r w:rsidRPr="00CA3D77">
              <w:rPr>
                <w:rFonts w:ascii="Times New Roman" w:hAnsi="Times New Roman" w:cs="Times New Roman"/>
                <w:sz w:val="24"/>
              </w:rPr>
              <w:t xml:space="preserve">CFNWA also partnered with REDI to ensure that we are part of the Province of Alberta’s upcoming </w:t>
            </w:r>
            <w:r w:rsidRPr="00CA3D77">
              <w:rPr>
                <w:rStyle w:val="cf01"/>
                <w:rFonts w:ascii="Times New Roman" w:hAnsi="Times New Roman" w:cs="Times New Roman"/>
                <w:sz w:val="24"/>
                <w:szCs w:val="24"/>
              </w:rPr>
              <w:t>Utility Corridor Taskforce.</w:t>
            </w:r>
          </w:p>
          <w:p w14:paraId="4C76EC20" w14:textId="094D7613" w:rsidR="0058552F" w:rsidRDefault="0058552F" w:rsidP="0058552F">
            <w:pPr>
              <w:spacing w:before="240"/>
              <w:rPr>
                <w:rFonts w:cs="Arial"/>
                <w:sz w:val="20"/>
                <w:szCs w:val="20"/>
              </w:rPr>
            </w:pPr>
            <w:r w:rsidRPr="00CA3D77">
              <w:rPr>
                <w:rFonts w:ascii="Times New Roman" w:hAnsi="Times New Roman" w:cs="Times New Roman"/>
                <w:sz w:val="24"/>
              </w:rPr>
              <w:t>CFNWA was able to partner with our Regional Economic Development Alliance for Northwest Alberta (REDI) and the Mackenzie Frontier Tourism Association (MFTA) on a Business and Tourism Survey that will form the basis of our planning for Business Recovery after COVID-19 is over. To date over 250 surveys have been completed and work is ongoing.</w:t>
            </w:r>
          </w:p>
          <w:p w14:paraId="2C3006E8" w14:textId="77777777" w:rsidR="00F609C9" w:rsidRDefault="004E0068" w:rsidP="004E0068">
            <w:pPr>
              <w:tabs>
                <w:tab w:val="left" w:pos="5891"/>
              </w:tabs>
              <w:spacing w:before="240"/>
              <w:rPr>
                <w:rFonts w:cs="Arial"/>
                <w:sz w:val="20"/>
                <w:szCs w:val="20"/>
              </w:rPr>
            </w:pPr>
            <w:r>
              <w:rPr>
                <w:rFonts w:cs="Arial"/>
                <w:sz w:val="20"/>
                <w:szCs w:val="20"/>
              </w:rPr>
              <w:tab/>
            </w:r>
          </w:p>
          <w:p w14:paraId="4985AB9A" w14:textId="77777777" w:rsidR="00F105C2" w:rsidRDefault="00F105C2" w:rsidP="00164DFE">
            <w:pPr>
              <w:spacing w:before="240"/>
              <w:rPr>
                <w:rFonts w:cs="Arial"/>
                <w:sz w:val="20"/>
                <w:szCs w:val="20"/>
              </w:rPr>
            </w:pPr>
          </w:p>
          <w:p w14:paraId="28150B10" w14:textId="77777777" w:rsidR="00F105C2" w:rsidRDefault="00F105C2" w:rsidP="00164DFE">
            <w:pPr>
              <w:spacing w:before="240"/>
              <w:rPr>
                <w:rFonts w:cs="Arial"/>
                <w:sz w:val="20"/>
                <w:szCs w:val="20"/>
              </w:rPr>
            </w:pPr>
          </w:p>
          <w:p w14:paraId="4A562FAA" w14:textId="77777777" w:rsidR="00F105C2" w:rsidRDefault="00F105C2" w:rsidP="00164DFE">
            <w:pPr>
              <w:spacing w:before="240"/>
              <w:rPr>
                <w:rFonts w:cs="Arial"/>
                <w:sz w:val="20"/>
                <w:szCs w:val="20"/>
              </w:rPr>
            </w:pPr>
          </w:p>
          <w:p w14:paraId="676F7834" w14:textId="77777777" w:rsidR="00F609C9" w:rsidRDefault="00F609C9" w:rsidP="00164DFE">
            <w:pPr>
              <w:spacing w:before="240"/>
              <w:rPr>
                <w:rFonts w:cs="Arial"/>
                <w:sz w:val="20"/>
                <w:szCs w:val="20"/>
              </w:rPr>
            </w:pPr>
          </w:p>
        </w:tc>
      </w:tr>
    </w:tbl>
    <w:p w14:paraId="0ED54450" w14:textId="77777777" w:rsidR="00F105C2" w:rsidRDefault="00F105C2" w:rsidP="00476214">
      <w:pPr>
        <w:spacing w:before="240"/>
        <w:rPr>
          <w:rFonts w:cs="Arial"/>
          <w:b/>
          <w:i/>
          <w:sz w:val="24"/>
          <w:szCs w:val="20"/>
          <w:u w:val="single"/>
        </w:rPr>
      </w:pPr>
    </w:p>
    <w:sectPr w:rsidR="00F105C2" w:rsidSect="00164DF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85EA1" w14:textId="77777777" w:rsidR="00A41842" w:rsidRDefault="00A41842" w:rsidP="00CC123A">
      <w:pPr>
        <w:spacing w:after="0" w:line="240" w:lineRule="auto"/>
      </w:pPr>
      <w:r>
        <w:separator/>
      </w:r>
    </w:p>
  </w:endnote>
  <w:endnote w:type="continuationSeparator" w:id="0">
    <w:p w14:paraId="3B05CC11" w14:textId="77777777" w:rsidR="00A41842" w:rsidRDefault="00A41842" w:rsidP="00CC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0B02D" w14:textId="77777777" w:rsidR="00A41842" w:rsidRDefault="00A41842" w:rsidP="00CC123A">
      <w:pPr>
        <w:spacing w:after="0" w:line="240" w:lineRule="auto"/>
      </w:pPr>
      <w:r>
        <w:separator/>
      </w:r>
    </w:p>
  </w:footnote>
  <w:footnote w:type="continuationSeparator" w:id="0">
    <w:p w14:paraId="51F9E242" w14:textId="77777777" w:rsidR="00A41842" w:rsidRDefault="00A41842" w:rsidP="00CC123A">
      <w:pPr>
        <w:spacing w:after="0" w:line="240" w:lineRule="auto"/>
      </w:pPr>
      <w:r>
        <w:continuationSeparator/>
      </w:r>
    </w:p>
  </w:footnote>
  <w:footnote w:id="1">
    <w:p w14:paraId="7A5E4BE6" w14:textId="77777777" w:rsidR="004E0068" w:rsidRPr="004E0068" w:rsidRDefault="004E0068">
      <w:pPr>
        <w:pStyle w:val="FootnoteText"/>
        <w:rPr>
          <w:lang w:val="en-US"/>
        </w:rPr>
      </w:pPr>
      <w:r>
        <w:rPr>
          <w:rStyle w:val="FootnoteReference"/>
        </w:rPr>
        <w:footnoteRef/>
      </w:r>
      <w:r>
        <w:t xml:space="preserve"> </w:t>
      </w:r>
      <w:r>
        <w:rPr>
          <w:lang w:val="en-US"/>
        </w:rPr>
        <w:t>Estimated at the time of lending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F8F8" w14:textId="77777777" w:rsidR="00CC123A" w:rsidRDefault="00CC123A">
    <w:pPr>
      <w:pStyle w:val="Header"/>
    </w:pPr>
    <w:r>
      <w:t>Performance Results for 2013-14</w:t>
    </w:r>
    <w:r w:rsidR="00387C16">
      <w:t xml:space="preserve">   </w:t>
    </w:r>
    <w:r w:rsidR="00387C16" w:rsidRPr="00387C16">
      <w:rPr>
        <w:u w:val="single"/>
      </w:rPr>
      <w:t>Insert Name of CF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0A9B" w14:textId="0AD74D68" w:rsidR="00903BAE" w:rsidRDefault="002F0A60" w:rsidP="00903BAE">
    <w:pPr>
      <w:keepNext/>
      <w:keepLines/>
      <w:tabs>
        <w:tab w:val="left" w:pos="6024"/>
        <w:tab w:val="left" w:pos="7159"/>
      </w:tabs>
      <w:autoSpaceDE w:val="0"/>
      <w:autoSpaceDN w:val="0"/>
      <w:adjustRightInd w:val="0"/>
      <w:jc w:val="center"/>
      <w:rPr>
        <w:rFonts w:cs="Arial"/>
        <w:b/>
        <w:sz w:val="20"/>
        <w:szCs w:val="20"/>
      </w:rPr>
    </w:pPr>
    <w:r>
      <w:t>Performance Results for 20</w:t>
    </w:r>
    <w:r w:rsidR="001048DF">
      <w:t>20</w:t>
    </w:r>
    <w:r>
      <w:t>-</w:t>
    </w:r>
    <w:r w:rsidR="00D97949">
      <w:t>2</w:t>
    </w:r>
    <w:r w:rsidR="001048DF">
      <w:t>1</w:t>
    </w:r>
    <w:r w:rsidR="00A9055B">
      <w:t xml:space="preserve">   </w:t>
    </w:r>
    <w:r w:rsidR="00645B39">
      <w:rPr>
        <w:u w:val="single"/>
      </w:rPr>
      <w:t>Community Futures Northwest Alberta</w:t>
    </w:r>
    <w:r w:rsidR="00903BAE" w:rsidRPr="00903BAE">
      <w:rPr>
        <w:rFonts w:cs="Arial"/>
        <w:b/>
        <w:sz w:val="20"/>
        <w:szCs w:val="20"/>
      </w:rPr>
      <w:t xml:space="preserve"> </w:t>
    </w:r>
  </w:p>
  <w:p w14:paraId="1762CD9A" w14:textId="77777777" w:rsidR="00A9055B" w:rsidRPr="00855202" w:rsidRDefault="00855202" w:rsidP="00855202">
    <w:pPr>
      <w:spacing w:line="240" w:lineRule="auto"/>
      <w:rPr>
        <w:sz w:val="18"/>
        <w:u w:val="single"/>
      </w:rPr>
    </w:pPr>
    <w:r w:rsidRPr="00855202">
      <w:rPr>
        <w:sz w:val="20"/>
        <w:lang w:val="en-GB"/>
      </w:rPr>
      <w:t xml:space="preserve">Community Futures (CF) is a program that supports community economic development and builds the capacity of communities to realize their full sustainable potential.  The purpose of the CF Program is to help communities develop and implement </w:t>
    </w:r>
    <w:r w:rsidRPr="00855202">
      <w:rPr>
        <w:i/>
        <w:iCs/>
        <w:sz w:val="20"/>
        <w:lang w:val="en-GB"/>
      </w:rPr>
      <w:t>local solutions to local problems</w:t>
    </w:r>
    <w:r w:rsidRPr="00855202">
      <w:rPr>
        <w:sz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03A4"/>
    <w:multiLevelType w:val="hybridMultilevel"/>
    <w:tmpl w:val="73DE88F8"/>
    <w:lvl w:ilvl="0" w:tplc="7B40C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C209E2"/>
    <w:multiLevelType w:val="hybridMultilevel"/>
    <w:tmpl w:val="1ED4F5FC"/>
    <w:lvl w:ilvl="0" w:tplc="55C613EC">
      <w:start w:val="1"/>
      <w:numFmt w:val="decimal"/>
      <w:lvlText w:val="%1."/>
      <w:lvlJc w:val="lef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C633E36"/>
    <w:multiLevelType w:val="hybridMultilevel"/>
    <w:tmpl w:val="150A8936"/>
    <w:lvl w:ilvl="0" w:tplc="AEB62574">
      <w:start w:val="1"/>
      <w:numFmt w:val="decimal"/>
      <w:lvlText w:val="%1."/>
      <w:lvlJc w:val="left"/>
      <w:pPr>
        <w:ind w:left="720" w:hanging="360"/>
      </w:pPr>
      <w:rPr>
        <w:color w:val="000000" w:themeColor="text1"/>
        <w:lang w:val="en-US"/>
      </w:rPr>
    </w:lvl>
    <w:lvl w:ilvl="1" w:tplc="435CACC4">
      <w:numFmt w:val="bullet"/>
      <w:lvlText w:val="•"/>
      <w:lvlJc w:val="left"/>
      <w:pPr>
        <w:ind w:left="1440" w:hanging="360"/>
      </w:pPr>
      <w:rPr>
        <w:rFonts w:ascii="Calibri" w:eastAsiaTheme="minorHAnsi" w:hAnsi="Calibri" w:cstheme="minorBid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330631B"/>
    <w:multiLevelType w:val="hybridMultilevel"/>
    <w:tmpl w:val="A8FECB1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3543079C"/>
    <w:multiLevelType w:val="hybridMultilevel"/>
    <w:tmpl w:val="2072F844"/>
    <w:lvl w:ilvl="0" w:tplc="1009000F">
      <w:start w:val="1"/>
      <w:numFmt w:val="decimal"/>
      <w:lvlText w:val="%1."/>
      <w:lvlJc w:val="left"/>
      <w:pPr>
        <w:ind w:left="937" w:hanging="360"/>
      </w:pPr>
    </w:lvl>
    <w:lvl w:ilvl="1" w:tplc="10090019" w:tentative="1">
      <w:start w:val="1"/>
      <w:numFmt w:val="lowerLetter"/>
      <w:lvlText w:val="%2."/>
      <w:lvlJc w:val="left"/>
      <w:pPr>
        <w:ind w:left="1657" w:hanging="360"/>
      </w:pPr>
    </w:lvl>
    <w:lvl w:ilvl="2" w:tplc="1009001B" w:tentative="1">
      <w:start w:val="1"/>
      <w:numFmt w:val="lowerRoman"/>
      <w:lvlText w:val="%3."/>
      <w:lvlJc w:val="right"/>
      <w:pPr>
        <w:ind w:left="2377" w:hanging="180"/>
      </w:pPr>
    </w:lvl>
    <w:lvl w:ilvl="3" w:tplc="1009000F" w:tentative="1">
      <w:start w:val="1"/>
      <w:numFmt w:val="decimal"/>
      <w:lvlText w:val="%4."/>
      <w:lvlJc w:val="left"/>
      <w:pPr>
        <w:ind w:left="3097" w:hanging="360"/>
      </w:pPr>
    </w:lvl>
    <w:lvl w:ilvl="4" w:tplc="10090019" w:tentative="1">
      <w:start w:val="1"/>
      <w:numFmt w:val="lowerLetter"/>
      <w:lvlText w:val="%5."/>
      <w:lvlJc w:val="left"/>
      <w:pPr>
        <w:ind w:left="3817" w:hanging="360"/>
      </w:pPr>
    </w:lvl>
    <w:lvl w:ilvl="5" w:tplc="1009001B" w:tentative="1">
      <w:start w:val="1"/>
      <w:numFmt w:val="lowerRoman"/>
      <w:lvlText w:val="%6."/>
      <w:lvlJc w:val="right"/>
      <w:pPr>
        <w:ind w:left="4537" w:hanging="180"/>
      </w:pPr>
    </w:lvl>
    <w:lvl w:ilvl="6" w:tplc="1009000F" w:tentative="1">
      <w:start w:val="1"/>
      <w:numFmt w:val="decimal"/>
      <w:lvlText w:val="%7."/>
      <w:lvlJc w:val="left"/>
      <w:pPr>
        <w:ind w:left="5257" w:hanging="360"/>
      </w:pPr>
    </w:lvl>
    <w:lvl w:ilvl="7" w:tplc="10090019" w:tentative="1">
      <w:start w:val="1"/>
      <w:numFmt w:val="lowerLetter"/>
      <w:lvlText w:val="%8."/>
      <w:lvlJc w:val="left"/>
      <w:pPr>
        <w:ind w:left="5977" w:hanging="360"/>
      </w:pPr>
    </w:lvl>
    <w:lvl w:ilvl="8" w:tplc="1009001B" w:tentative="1">
      <w:start w:val="1"/>
      <w:numFmt w:val="lowerRoman"/>
      <w:lvlText w:val="%9."/>
      <w:lvlJc w:val="right"/>
      <w:pPr>
        <w:ind w:left="6697" w:hanging="180"/>
      </w:pPr>
    </w:lvl>
  </w:abstractNum>
  <w:abstractNum w:abstractNumId="5" w15:restartNumberingAfterBreak="0">
    <w:nsid w:val="3D98274A"/>
    <w:multiLevelType w:val="hybridMultilevel"/>
    <w:tmpl w:val="ED3471B8"/>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C30219D"/>
    <w:multiLevelType w:val="hybridMultilevel"/>
    <w:tmpl w:val="640EE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66B1203"/>
    <w:multiLevelType w:val="hybridMultilevel"/>
    <w:tmpl w:val="41C461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DDA38B4"/>
    <w:multiLevelType w:val="hybridMultilevel"/>
    <w:tmpl w:val="32428F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EC628D4"/>
    <w:multiLevelType w:val="hybridMultilevel"/>
    <w:tmpl w:val="793ECC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F063406"/>
    <w:multiLevelType w:val="hybridMultilevel"/>
    <w:tmpl w:val="D07CB9B6"/>
    <w:lvl w:ilvl="0" w:tplc="1009001B">
      <w:start w:val="1"/>
      <w:numFmt w:val="lowerRoman"/>
      <w:lvlText w:val="%1."/>
      <w:lvlJc w:val="righ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C71044A"/>
    <w:multiLevelType w:val="hybridMultilevel"/>
    <w:tmpl w:val="995A9550"/>
    <w:lvl w:ilvl="0" w:tplc="BC4AEB10">
      <w:start w:val="1"/>
      <w:numFmt w:val="decimal"/>
      <w:lvlText w:val="%1."/>
      <w:lvlJc w:val="lef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4AB17C9"/>
    <w:multiLevelType w:val="multilevel"/>
    <w:tmpl w:val="79C2A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F27EC2"/>
    <w:multiLevelType w:val="hybridMultilevel"/>
    <w:tmpl w:val="9D5095DE"/>
    <w:lvl w:ilvl="0" w:tplc="1009001B">
      <w:start w:val="1"/>
      <w:numFmt w:val="lowerRoman"/>
      <w:lvlText w:val="%1."/>
      <w:lvlJc w:val="righ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3"/>
  </w:num>
  <w:num w:numId="5">
    <w:abstractNumId w:val="10"/>
  </w:num>
  <w:num w:numId="6">
    <w:abstractNumId w:val="13"/>
  </w:num>
  <w:num w:numId="7">
    <w:abstractNumId w:val="7"/>
  </w:num>
  <w:num w:numId="8">
    <w:abstractNumId w:val="5"/>
  </w:num>
  <w:num w:numId="9">
    <w:abstractNumId w:val="4"/>
  </w:num>
  <w:num w:numId="10">
    <w:abstractNumId w:val="9"/>
  </w:num>
  <w:num w:numId="11">
    <w:abstractNumId w:val="1"/>
  </w:num>
  <w:num w:numId="12">
    <w:abstractNumId w:val="1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3A"/>
    <w:rsid w:val="000032F8"/>
    <w:rsid w:val="00042B8D"/>
    <w:rsid w:val="000A68DF"/>
    <w:rsid w:val="000E446D"/>
    <w:rsid w:val="000F1E3F"/>
    <w:rsid w:val="000F794C"/>
    <w:rsid w:val="001048DF"/>
    <w:rsid w:val="00124D7E"/>
    <w:rsid w:val="00136C60"/>
    <w:rsid w:val="00164DFE"/>
    <w:rsid w:val="001A0388"/>
    <w:rsid w:val="001A55FE"/>
    <w:rsid w:val="001A5D7A"/>
    <w:rsid w:val="001B676C"/>
    <w:rsid w:val="001D67CF"/>
    <w:rsid w:val="001F63A6"/>
    <w:rsid w:val="0020118B"/>
    <w:rsid w:val="00204964"/>
    <w:rsid w:val="0022039D"/>
    <w:rsid w:val="002733B9"/>
    <w:rsid w:val="002B1845"/>
    <w:rsid w:val="002F0A60"/>
    <w:rsid w:val="00305D11"/>
    <w:rsid w:val="00326C17"/>
    <w:rsid w:val="00352DD5"/>
    <w:rsid w:val="00370843"/>
    <w:rsid w:val="00387C16"/>
    <w:rsid w:val="003B364D"/>
    <w:rsid w:val="003D46F2"/>
    <w:rsid w:val="003D6046"/>
    <w:rsid w:val="003E2596"/>
    <w:rsid w:val="00416424"/>
    <w:rsid w:val="00435FD8"/>
    <w:rsid w:val="004707C8"/>
    <w:rsid w:val="00476214"/>
    <w:rsid w:val="004803A5"/>
    <w:rsid w:val="004E0068"/>
    <w:rsid w:val="00524D65"/>
    <w:rsid w:val="00535C65"/>
    <w:rsid w:val="0055116A"/>
    <w:rsid w:val="0056519D"/>
    <w:rsid w:val="0058552F"/>
    <w:rsid w:val="005C3625"/>
    <w:rsid w:val="0061366E"/>
    <w:rsid w:val="00614CA8"/>
    <w:rsid w:val="0063129F"/>
    <w:rsid w:val="00637BD2"/>
    <w:rsid w:val="00645B39"/>
    <w:rsid w:val="006C2CCB"/>
    <w:rsid w:val="006C565E"/>
    <w:rsid w:val="006C618A"/>
    <w:rsid w:val="006F5326"/>
    <w:rsid w:val="00716865"/>
    <w:rsid w:val="00716BF1"/>
    <w:rsid w:val="0074505F"/>
    <w:rsid w:val="00790628"/>
    <w:rsid w:val="008070B2"/>
    <w:rsid w:val="00855202"/>
    <w:rsid w:val="00876ADF"/>
    <w:rsid w:val="008835BB"/>
    <w:rsid w:val="008B0CCB"/>
    <w:rsid w:val="008F7F84"/>
    <w:rsid w:val="00903BAE"/>
    <w:rsid w:val="0090536B"/>
    <w:rsid w:val="009212B6"/>
    <w:rsid w:val="009F415F"/>
    <w:rsid w:val="00A41842"/>
    <w:rsid w:val="00A57ABB"/>
    <w:rsid w:val="00A9055B"/>
    <w:rsid w:val="00AD3AAD"/>
    <w:rsid w:val="00B069C6"/>
    <w:rsid w:val="00B3074E"/>
    <w:rsid w:val="00B65BB9"/>
    <w:rsid w:val="00B86B60"/>
    <w:rsid w:val="00BB1612"/>
    <w:rsid w:val="00BD0981"/>
    <w:rsid w:val="00BE6567"/>
    <w:rsid w:val="00C06A6C"/>
    <w:rsid w:val="00C7787C"/>
    <w:rsid w:val="00C85229"/>
    <w:rsid w:val="00CC123A"/>
    <w:rsid w:val="00CE1F1B"/>
    <w:rsid w:val="00D011D2"/>
    <w:rsid w:val="00D01222"/>
    <w:rsid w:val="00D262DF"/>
    <w:rsid w:val="00D27BC2"/>
    <w:rsid w:val="00D67217"/>
    <w:rsid w:val="00D97949"/>
    <w:rsid w:val="00E347D4"/>
    <w:rsid w:val="00E351D5"/>
    <w:rsid w:val="00E361E6"/>
    <w:rsid w:val="00E514E4"/>
    <w:rsid w:val="00E72307"/>
    <w:rsid w:val="00E81EA2"/>
    <w:rsid w:val="00E9578A"/>
    <w:rsid w:val="00EB684E"/>
    <w:rsid w:val="00EC74F0"/>
    <w:rsid w:val="00F019C9"/>
    <w:rsid w:val="00F105C2"/>
    <w:rsid w:val="00F40352"/>
    <w:rsid w:val="00F464A9"/>
    <w:rsid w:val="00F609C9"/>
    <w:rsid w:val="00FA471E"/>
    <w:rsid w:val="00FE58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3A2CF"/>
  <w15:docId w15:val="{54ABAEC8-1A74-4509-B4A0-670D910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23A"/>
    <w:rPr>
      <w:rFonts w:ascii="Tahoma" w:hAnsi="Tahoma" w:cs="Tahoma"/>
      <w:sz w:val="16"/>
      <w:szCs w:val="16"/>
    </w:rPr>
  </w:style>
  <w:style w:type="paragraph" w:styleId="Header">
    <w:name w:val="header"/>
    <w:basedOn w:val="Normal"/>
    <w:link w:val="HeaderChar"/>
    <w:uiPriority w:val="99"/>
    <w:unhideWhenUsed/>
    <w:rsid w:val="00CC1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3A"/>
  </w:style>
  <w:style w:type="paragraph" w:styleId="Footer">
    <w:name w:val="footer"/>
    <w:basedOn w:val="Normal"/>
    <w:link w:val="FooterChar"/>
    <w:uiPriority w:val="99"/>
    <w:unhideWhenUsed/>
    <w:rsid w:val="00CC1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3A"/>
  </w:style>
  <w:style w:type="paragraph" w:styleId="ListParagraph">
    <w:name w:val="List Paragraph"/>
    <w:basedOn w:val="Normal"/>
    <w:uiPriority w:val="34"/>
    <w:qFormat/>
    <w:rsid w:val="008F7F84"/>
    <w:pPr>
      <w:ind w:left="720"/>
      <w:contextualSpacing/>
    </w:pPr>
  </w:style>
  <w:style w:type="paragraph" w:customStyle="1" w:styleId="Default">
    <w:name w:val="Default"/>
    <w:rsid w:val="008F7F84"/>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table" w:styleId="TableGrid">
    <w:name w:val="Table Grid"/>
    <w:basedOn w:val="TableNormal"/>
    <w:uiPriority w:val="59"/>
    <w:rsid w:val="00F6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5202"/>
    <w:pPr>
      <w:overflowPunct w:val="0"/>
      <w:autoSpaceDE w:val="0"/>
      <w:autoSpaceDN w:val="0"/>
      <w:adjustRightInd w:val="0"/>
      <w:spacing w:after="0" w:line="240" w:lineRule="auto"/>
      <w:textAlignment w:val="baseline"/>
    </w:pPr>
    <w:rPr>
      <w:rFonts w:ascii="Arial" w:eastAsia="Times New Roman" w:hAnsi="Arial" w:cs="Arial"/>
      <w:sz w:val="24"/>
      <w:szCs w:val="20"/>
      <w:lang w:val="en-US"/>
    </w:rPr>
  </w:style>
  <w:style w:type="character" w:customStyle="1" w:styleId="BodyText2Char">
    <w:name w:val="Body Text 2 Char"/>
    <w:basedOn w:val="DefaultParagraphFont"/>
    <w:link w:val="BodyText2"/>
    <w:semiHidden/>
    <w:rsid w:val="00855202"/>
    <w:rPr>
      <w:rFonts w:ascii="Arial" w:eastAsia="Times New Roman" w:hAnsi="Arial" w:cs="Arial"/>
      <w:sz w:val="24"/>
      <w:szCs w:val="20"/>
      <w:lang w:val="en-US"/>
    </w:rPr>
  </w:style>
  <w:style w:type="character" w:styleId="CommentReference">
    <w:name w:val="annotation reference"/>
    <w:basedOn w:val="DefaultParagraphFont"/>
    <w:uiPriority w:val="99"/>
    <w:semiHidden/>
    <w:unhideWhenUsed/>
    <w:rsid w:val="00855202"/>
    <w:rPr>
      <w:sz w:val="16"/>
      <w:szCs w:val="16"/>
    </w:rPr>
  </w:style>
  <w:style w:type="paragraph" w:styleId="CommentText">
    <w:name w:val="annotation text"/>
    <w:basedOn w:val="Normal"/>
    <w:link w:val="CommentTextChar"/>
    <w:uiPriority w:val="99"/>
    <w:semiHidden/>
    <w:unhideWhenUsed/>
    <w:rsid w:val="00855202"/>
    <w:pPr>
      <w:spacing w:line="240" w:lineRule="auto"/>
    </w:pPr>
    <w:rPr>
      <w:sz w:val="20"/>
      <w:szCs w:val="20"/>
    </w:rPr>
  </w:style>
  <w:style w:type="character" w:customStyle="1" w:styleId="CommentTextChar">
    <w:name w:val="Comment Text Char"/>
    <w:basedOn w:val="DefaultParagraphFont"/>
    <w:link w:val="CommentText"/>
    <w:uiPriority w:val="99"/>
    <w:semiHidden/>
    <w:rsid w:val="00855202"/>
    <w:rPr>
      <w:sz w:val="20"/>
      <w:szCs w:val="20"/>
    </w:rPr>
  </w:style>
  <w:style w:type="paragraph" w:styleId="CommentSubject">
    <w:name w:val="annotation subject"/>
    <w:basedOn w:val="CommentText"/>
    <w:next w:val="CommentText"/>
    <w:link w:val="CommentSubjectChar"/>
    <w:uiPriority w:val="99"/>
    <w:semiHidden/>
    <w:unhideWhenUsed/>
    <w:rsid w:val="00855202"/>
    <w:rPr>
      <w:b/>
      <w:bCs/>
    </w:rPr>
  </w:style>
  <w:style w:type="character" w:customStyle="1" w:styleId="CommentSubjectChar">
    <w:name w:val="Comment Subject Char"/>
    <w:basedOn w:val="CommentTextChar"/>
    <w:link w:val="CommentSubject"/>
    <w:uiPriority w:val="99"/>
    <w:semiHidden/>
    <w:rsid w:val="00855202"/>
    <w:rPr>
      <w:b/>
      <w:bCs/>
      <w:sz w:val="20"/>
      <w:szCs w:val="20"/>
    </w:rPr>
  </w:style>
  <w:style w:type="character" w:styleId="Hyperlink">
    <w:name w:val="Hyperlink"/>
    <w:basedOn w:val="DefaultParagraphFont"/>
    <w:uiPriority w:val="99"/>
    <w:unhideWhenUsed/>
    <w:rsid w:val="000A68DF"/>
    <w:rPr>
      <w:color w:val="0000FF" w:themeColor="hyperlink"/>
      <w:u w:val="single"/>
    </w:rPr>
  </w:style>
  <w:style w:type="paragraph" w:styleId="FootnoteText">
    <w:name w:val="footnote text"/>
    <w:basedOn w:val="Normal"/>
    <w:link w:val="FootnoteTextChar"/>
    <w:uiPriority w:val="99"/>
    <w:semiHidden/>
    <w:unhideWhenUsed/>
    <w:rsid w:val="004E00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0068"/>
    <w:rPr>
      <w:sz w:val="20"/>
      <w:szCs w:val="20"/>
    </w:rPr>
  </w:style>
  <w:style w:type="character" w:styleId="FootnoteReference">
    <w:name w:val="footnote reference"/>
    <w:basedOn w:val="DefaultParagraphFont"/>
    <w:uiPriority w:val="99"/>
    <w:semiHidden/>
    <w:unhideWhenUsed/>
    <w:rsid w:val="004E0068"/>
    <w:rPr>
      <w:vertAlign w:val="superscript"/>
    </w:rPr>
  </w:style>
  <w:style w:type="paragraph" w:styleId="BodyTextIndent">
    <w:name w:val="Body Text Indent"/>
    <w:basedOn w:val="Normal"/>
    <w:link w:val="BodyTextIndentChar"/>
    <w:uiPriority w:val="99"/>
    <w:semiHidden/>
    <w:unhideWhenUsed/>
    <w:rsid w:val="0058552F"/>
    <w:pPr>
      <w:spacing w:after="120"/>
      <w:ind w:left="283"/>
    </w:pPr>
  </w:style>
  <w:style w:type="character" w:customStyle="1" w:styleId="BodyTextIndentChar">
    <w:name w:val="Body Text Indent Char"/>
    <w:basedOn w:val="DefaultParagraphFont"/>
    <w:link w:val="BodyTextIndent"/>
    <w:uiPriority w:val="99"/>
    <w:semiHidden/>
    <w:rsid w:val="0058552F"/>
  </w:style>
  <w:style w:type="character" w:customStyle="1" w:styleId="cf01">
    <w:name w:val="cf01"/>
    <w:basedOn w:val="DefaultParagraphFont"/>
    <w:rsid w:val="0058552F"/>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220805">
      <w:bodyDiv w:val="1"/>
      <w:marLeft w:val="0"/>
      <w:marRight w:val="0"/>
      <w:marTop w:val="0"/>
      <w:marBottom w:val="0"/>
      <w:divBdr>
        <w:top w:val="none" w:sz="0" w:space="0" w:color="auto"/>
        <w:left w:val="none" w:sz="0" w:space="0" w:color="auto"/>
        <w:bottom w:val="none" w:sz="0" w:space="0" w:color="auto"/>
        <w:right w:val="none" w:sz="0" w:space="0" w:color="auto"/>
      </w:divBdr>
      <w:divsChild>
        <w:div w:id="1974748470">
          <w:marLeft w:val="0"/>
          <w:marRight w:val="0"/>
          <w:marTop w:val="0"/>
          <w:marBottom w:val="0"/>
          <w:divBdr>
            <w:top w:val="none" w:sz="0" w:space="0" w:color="auto"/>
            <w:left w:val="none" w:sz="0" w:space="0" w:color="auto"/>
            <w:bottom w:val="none" w:sz="0" w:space="0" w:color="auto"/>
            <w:right w:val="none" w:sz="0" w:space="0" w:color="auto"/>
          </w:divBdr>
          <w:divsChild>
            <w:div w:id="1122383982">
              <w:marLeft w:val="0"/>
              <w:marRight w:val="0"/>
              <w:marTop w:val="0"/>
              <w:marBottom w:val="0"/>
              <w:divBdr>
                <w:top w:val="none" w:sz="0" w:space="0" w:color="auto"/>
                <w:left w:val="none" w:sz="0" w:space="0" w:color="auto"/>
                <w:bottom w:val="none" w:sz="0" w:space="0" w:color="auto"/>
                <w:right w:val="none" w:sz="0" w:space="0" w:color="auto"/>
              </w:divBdr>
              <w:divsChild>
                <w:div w:id="128669697">
                  <w:marLeft w:val="0"/>
                  <w:marRight w:val="0"/>
                  <w:marTop w:val="0"/>
                  <w:marBottom w:val="0"/>
                  <w:divBdr>
                    <w:top w:val="none" w:sz="0" w:space="0" w:color="auto"/>
                    <w:left w:val="none" w:sz="0" w:space="0" w:color="auto"/>
                    <w:bottom w:val="none" w:sz="0" w:space="0" w:color="auto"/>
                    <w:right w:val="none" w:sz="0" w:space="0" w:color="auto"/>
                  </w:divBdr>
                  <w:divsChild>
                    <w:div w:id="51053574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AA64F-AEAD-4DF8-8328-2BAF8E12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Western Economic Diversification</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Cahoon</dc:creator>
  <cp:keywords/>
  <dc:description/>
  <cp:lastModifiedBy>Mike Osborn</cp:lastModifiedBy>
  <cp:revision>4</cp:revision>
  <dcterms:created xsi:type="dcterms:W3CDTF">2021-05-31T21:04:00Z</dcterms:created>
  <dcterms:modified xsi:type="dcterms:W3CDTF">2021-05-31T21:13:00Z</dcterms:modified>
</cp:coreProperties>
</file>